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91" w:rsidRDefault="00C74391"/>
    <w:p w:rsidR="00C74391" w:rsidRPr="00C74391" w:rsidRDefault="00376806" w:rsidP="00C74391">
      <w:pPr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8"/>
          <w:szCs w:val="28"/>
          <w:u w:val="single"/>
        </w:rPr>
        <w:t>End of Key S</w:t>
      </w:r>
      <w:r w:rsidR="00C74391" w:rsidRPr="00C74391">
        <w:rPr>
          <w:rFonts w:ascii="Segoe UI" w:hAnsi="Segoe UI" w:cs="Segoe UI"/>
          <w:b/>
          <w:sz w:val="28"/>
          <w:szCs w:val="28"/>
          <w:u w:val="single"/>
        </w:rPr>
        <w:t>tage 2</w:t>
      </w:r>
      <w:bookmarkStart w:id="0" w:name="_GoBack"/>
      <w:bookmarkEnd w:id="0"/>
      <w:r w:rsidR="00C74391" w:rsidRPr="00C74391">
        <w:rPr>
          <w:rFonts w:ascii="Segoe UI" w:hAnsi="Segoe UI" w:cs="Segoe UI"/>
          <w:b/>
          <w:sz w:val="28"/>
          <w:szCs w:val="28"/>
          <w:u w:val="single"/>
        </w:rPr>
        <w:t xml:space="preserve"> 2017 Results </w:t>
      </w:r>
    </w:p>
    <w:tbl>
      <w:tblPr>
        <w:tblW w:w="6630" w:type="dxa"/>
        <w:tblCellSpacing w:w="0" w:type="dxa"/>
        <w:tblInd w:w="1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6"/>
        <w:gridCol w:w="1028"/>
        <w:gridCol w:w="1136"/>
      </w:tblGrid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Achieving the Expected Standard or above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National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the expected standard or above in reading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56.7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75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the expected standard or above in writing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78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the expected standard or above in mathematics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66.7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76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the expected standard or above in reading, writing and mathematics combined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64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Average Scaled Scores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National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Average scaled score in reading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104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Average scaled score in mathematics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104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Achieving a High Level of Attainment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National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a high level of attainment in reading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13.3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28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a high level of attainment in writing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18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% of children achieving a high level of attainment in mathematics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24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0</w:t>
            </w: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 xml:space="preserve">Average Progress Scores 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School</w:t>
            </w:r>
          </w:p>
        </w:tc>
        <w:tc>
          <w:tcPr>
            <w:tcW w:w="1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> National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Average progress score in reading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-3.0</w:t>
            </w:r>
          </w:p>
        </w:tc>
        <w:tc>
          <w:tcPr>
            <w:tcW w:w="11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391" w:rsidRPr="00C74391" w:rsidRDefault="00C74391" w:rsidP="00C7439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Average progress score in writing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0.8</w:t>
            </w:r>
          </w:p>
        </w:tc>
        <w:tc>
          <w:tcPr>
            <w:tcW w:w="113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  <w:tr w:rsidR="00C74391" w:rsidRPr="00C74391" w:rsidTr="00C74391">
        <w:trPr>
          <w:tblCellSpacing w:w="0" w:type="dxa"/>
        </w:trPr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C74391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Average progress score in mathematics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391" w:rsidRPr="00C74391" w:rsidRDefault="00C74391" w:rsidP="00C743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-2.0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4391" w:rsidRPr="00C74391" w:rsidRDefault="00C74391" w:rsidP="00C74391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</w:tbl>
    <w:p w:rsidR="00C74391" w:rsidRPr="00C74391" w:rsidRDefault="00C74391" w:rsidP="00C7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74391" w:rsidRPr="00C74391" w:rsidRDefault="00C74391" w:rsidP="00C7439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C74391">
        <w:rPr>
          <w:rFonts w:ascii="Segoe UI" w:eastAsia="Times New Roman" w:hAnsi="Segoe UI" w:cs="Segoe UI"/>
          <w:sz w:val="24"/>
          <w:szCs w:val="24"/>
          <w:lang w:eastAsia="en-GB"/>
        </w:rPr>
        <w:t>Link to performance tables with additional information and ability to view all schools:</w:t>
      </w:r>
    </w:p>
    <w:p w:rsidR="00C74391" w:rsidRPr="00C74391" w:rsidRDefault="00376806" w:rsidP="00C7439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7" w:history="1">
        <w:r w:rsidR="00C74391" w:rsidRPr="00C74391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www.education.gov.uk/schools/performance</w:t>
        </w:r>
      </w:hyperlink>
    </w:p>
    <w:p w:rsidR="00C74391" w:rsidRPr="00C74391" w:rsidRDefault="00C74391" w:rsidP="00C7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A03258" w:rsidRPr="00C74391" w:rsidRDefault="00C74391" w:rsidP="00C743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7439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sectPr w:rsidR="00A03258" w:rsidRPr="00C74391" w:rsidSect="00C7439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23" w:rsidRDefault="001F6423" w:rsidP="00C74391">
      <w:pPr>
        <w:spacing w:after="0" w:line="240" w:lineRule="auto"/>
      </w:pPr>
      <w:r>
        <w:separator/>
      </w:r>
    </w:p>
  </w:endnote>
  <w:endnote w:type="continuationSeparator" w:id="0">
    <w:p w:rsidR="001F6423" w:rsidRDefault="001F6423" w:rsidP="00C7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23" w:rsidRDefault="001F6423" w:rsidP="00C74391">
      <w:pPr>
        <w:spacing w:after="0" w:line="240" w:lineRule="auto"/>
      </w:pPr>
      <w:r>
        <w:separator/>
      </w:r>
    </w:p>
  </w:footnote>
  <w:footnote w:type="continuationSeparator" w:id="0">
    <w:p w:rsidR="001F6423" w:rsidRDefault="001F6423" w:rsidP="00C7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91" w:rsidRDefault="00C74391" w:rsidP="00C74391">
    <w:pPr>
      <w:pStyle w:val="Header"/>
      <w:rPr>
        <w:rFonts w:ascii="Segoe UI" w:hAnsi="Segoe UI" w:cs="Segoe UI"/>
        <w:b/>
        <w:color w:val="FF0000"/>
        <w:sz w:val="24"/>
        <w:szCs w:val="24"/>
      </w:rPr>
    </w:pPr>
    <w:r>
      <w:rPr>
        <w:noProof/>
        <w:lang w:eastAsia="en-GB"/>
      </w:rPr>
      <w:drawing>
        <wp:inline distT="0" distB="0" distL="0" distR="0" wp14:anchorId="1264AFE8" wp14:editId="3BBD03F0">
          <wp:extent cx="561975" cy="565262"/>
          <wp:effectExtent l="0" t="0" r="0" b="6350"/>
          <wp:docPr id="2" name="Picture 2" descr="Bocking shield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cking shield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6" cy="56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5D4CF1EA" wp14:editId="6BE99524">
          <wp:simplePos x="0" y="0"/>
          <wp:positionH relativeFrom="column">
            <wp:posOffset>5626735</wp:posOffset>
          </wp:positionH>
          <wp:positionV relativeFrom="paragraph">
            <wp:posOffset>-1905</wp:posOffset>
          </wp:positionV>
          <wp:extent cx="590550" cy="606425"/>
          <wp:effectExtent l="0" t="0" r="0" b="3175"/>
          <wp:wrapSquare wrapText="bothSides"/>
          <wp:docPr id="3" name="Picture 3" descr="BCSPS success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CSPS success logo 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sz w:val="24"/>
        <w:szCs w:val="24"/>
      </w:rPr>
      <w:t xml:space="preserve">                       </w:t>
    </w:r>
    <w:r w:rsidRPr="00051048">
      <w:rPr>
        <w:rFonts w:ascii="Segoe UI" w:hAnsi="Segoe UI" w:cs="Segoe UI"/>
        <w:b/>
        <w:color w:val="FF0000"/>
        <w:sz w:val="24"/>
        <w:szCs w:val="24"/>
      </w:rPr>
      <w:t xml:space="preserve">BOCKING CHURCH STREET PRIMARY SCHOOL         </w:t>
    </w:r>
  </w:p>
  <w:p w:rsidR="00C74391" w:rsidRPr="004750F8" w:rsidRDefault="00C74391" w:rsidP="00C74391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ambria" w:hAnsi="Cambria" w:cs="Cambria"/>
        <w:color w:val="000000"/>
        <w:kern w:val="28"/>
        <w:sz w:val="20"/>
        <w:szCs w:val="20"/>
      </w:rPr>
    </w:pPr>
    <w:r w:rsidRPr="00051048">
      <w:rPr>
        <w:rFonts w:ascii="Cambria" w:hAnsi="Cambria" w:cs="Cambria"/>
        <w:b/>
        <w:bCs/>
        <w:color w:val="000000"/>
        <w:kern w:val="28"/>
        <w:sz w:val="20"/>
        <w:szCs w:val="20"/>
      </w:rPr>
      <w:t>Be Respectful</w:t>
    </w:r>
    <w:r w:rsidRPr="00051048">
      <w:rPr>
        <w:rFonts w:ascii="Cambria" w:hAnsi="Cambria" w:cs="Cambria"/>
        <w:color w:val="000000"/>
        <w:kern w:val="28"/>
        <w:sz w:val="20"/>
        <w:szCs w:val="20"/>
      </w:rPr>
      <w:t xml:space="preserve">    </w:t>
    </w:r>
    <w:r w:rsidRPr="00051048"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Ready </w:t>
    </w:r>
    <w:r w:rsidRPr="00051048">
      <w:rPr>
        <w:rFonts w:ascii="Cambria" w:hAnsi="Cambria" w:cs="Cambria"/>
        <w:color w:val="000000"/>
        <w:kern w:val="28"/>
        <w:sz w:val="20"/>
        <w:szCs w:val="20"/>
      </w:rPr>
      <w:t xml:space="preserve">  </w:t>
    </w:r>
    <w:r w:rsidRPr="00051048"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Resilient </w:t>
    </w:r>
    <w:r w:rsidRPr="00051048">
      <w:rPr>
        <w:rFonts w:ascii="Cambria" w:hAnsi="Cambria" w:cs="Cambria"/>
        <w:color w:val="000000"/>
        <w:kern w:val="28"/>
        <w:sz w:val="20"/>
        <w:szCs w:val="20"/>
      </w:rPr>
      <w:t xml:space="preserve">   </w:t>
    </w:r>
    <w:r w:rsidRPr="00051048"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Responsible </w:t>
    </w:r>
    <w:r w:rsidRPr="00051048">
      <w:rPr>
        <w:rFonts w:ascii="Cambria" w:hAnsi="Cambria" w:cs="Cambria"/>
        <w:color w:val="000000"/>
        <w:kern w:val="28"/>
        <w:sz w:val="20"/>
        <w:szCs w:val="20"/>
      </w:rPr>
      <w:t xml:space="preserve">  </w:t>
    </w:r>
    <w:r w:rsidRPr="00051048"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Resourceful </w:t>
    </w:r>
    <w:r w:rsidRPr="00051048">
      <w:rPr>
        <w:rFonts w:ascii="Cambria" w:hAnsi="Cambria" w:cs="Cambria"/>
        <w:color w:val="000000"/>
        <w:kern w:val="28"/>
        <w:sz w:val="20"/>
        <w:szCs w:val="20"/>
      </w:rPr>
      <w:t xml:space="preserve">   </w:t>
    </w:r>
    <w:r w:rsidRPr="00051048">
      <w:rPr>
        <w:rFonts w:ascii="Cambria" w:hAnsi="Cambria" w:cs="Cambria"/>
        <w:b/>
        <w:bCs/>
        <w:color w:val="000000"/>
        <w:kern w:val="28"/>
        <w:sz w:val="20"/>
        <w:szCs w:val="20"/>
      </w:rPr>
      <w:t xml:space="preserve">Be Reflective </w:t>
    </w:r>
    <w:r w:rsidRPr="00051048">
      <w:rPr>
        <w:rFonts w:ascii="Cambria" w:hAnsi="Cambria" w:cs="Cambria"/>
        <w:color w:val="000000"/>
        <w:kern w:val="28"/>
        <w:sz w:val="20"/>
        <w:szCs w:val="20"/>
      </w:rPr>
      <w:t xml:space="preserve">   </w:t>
    </w:r>
    <w:r>
      <w:rPr>
        <w:rFonts w:ascii="Cambria" w:hAnsi="Cambria" w:cs="Cambria"/>
        <w:b/>
        <w:bCs/>
        <w:color w:val="000000"/>
        <w:kern w:val="28"/>
        <w:sz w:val="20"/>
        <w:szCs w:val="20"/>
      </w:rPr>
      <w:t>Be Remarkable</w:t>
    </w:r>
  </w:p>
  <w:p w:rsidR="00C74391" w:rsidRPr="00C74391" w:rsidRDefault="00C74391" w:rsidP="00C74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91"/>
    <w:rsid w:val="000A3EFA"/>
    <w:rsid w:val="001F6423"/>
    <w:rsid w:val="00376806"/>
    <w:rsid w:val="007F7BB9"/>
    <w:rsid w:val="00C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43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43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91"/>
  </w:style>
  <w:style w:type="paragraph" w:styleId="Footer">
    <w:name w:val="footer"/>
    <w:basedOn w:val="Normal"/>
    <w:link w:val="FooterChar"/>
    <w:uiPriority w:val="99"/>
    <w:unhideWhenUsed/>
    <w:rsid w:val="00C7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1"/>
  </w:style>
  <w:style w:type="paragraph" w:styleId="BalloonText">
    <w:name w:val="Balloon Text"/>
    <w:basedOn w:val="Normal"/>
    <w:link w:val="BalloonTextChar"/>
    <w:uiPriority w:val="99"/>
    <w:semiHidden/>
    <w:unhideWhenUsed/>
    <w:rsid w:val="00C7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743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43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91"/>
  </w:style>
  <w:style w:type="paragraph" w:styleId="Footer">
    <w:name w:val="footer"/>
    <w:basedOn w:val="Normal"/>
    <w:link w:val="FooterChar"/>
    <w:uiPriority w:val="99"/>
    <w:unhideWhenUsed/>
    <w:rsid w:val="00C7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91"/>
  </w:style>
  <w:style w:type="paragraph" w:styleId="BalloonText">
    <w:name w:val="Balloon Text"/>
    <w:basedOn w:val="Normal"/>
    <w:link w:val="BalloonTextChar"/>
    <w:uiPriority w:val="99"/>
    <w:semiHidden/>
    <w:unhideWhenUsed/>
    <w:rsid w:val="00C7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8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630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3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63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2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09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80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50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uk/schools/perform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Bocking Church Street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HRH Jingles</dc:creator>
  <cp:lastModifiedBy>Mr Carmoody</cp:lastModifiedBy>
  <cp:revision>2</cp:revision>
  <dcterms:created xsi:type="dcterms:W3CDTF">2018-09-10T10:51:00Z</dcterms:created>
  <dcterms:modified xsi:type="dcterms:W3CDTF">2018-09-14T13:43:00Z</dcterms:modified>
</cp:coreProperties>
</file>